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ca298ae71448c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24955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ETNOGRAFSKI MUZEJ 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1.094.557,75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1.173.630,36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1.417.019,63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1.102.800,70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70.829,66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66.835,15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6.517,76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66.835,15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6.517,76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64.311,90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Etnografski muzej je javna ustanova u kulturi čiji osnivač je Grad Zagreb. Muzej je osnovan 1919. god., zbirke sadrže oko 88.000 predmeta, a zaposleno je 41 osoba, od toga 16 kustosa. Zbog stručno-znanstvenih potencijala i kvalitetnih programa Etnografski muzej ima ulogu i značaj nacionalnog muzeja pa slijedom toga u Hrvatskoj obavlja funkciju matičnog etnografskog muzeja prve razine. Muzej unutar svog djelokruga rada organizira izložbe iz fundusa, tematske, gostujuće, te ostvaruje međugradsku i međunarodnu suradnju. Organizira različita događanja za posjetitelje (predavanja, projekcije, predstavljanja, koncerte, radionice i dr.). Muzej aktivno surađuje s udrugama civilnog društva i građana, umjetnicima i znanstvenim institucijama, te strukovnim udrugama. Restauratorske radionice Muzeja obavljaju preventivnu zaštitu i konzervaciju predmeta, restauraciju pojedinih predmeta, te brinu o adekvatnom smještaju i čuvanju muzejskog fundusa. Nova muzejska Čuvaonica u kojoj su smješteni depoi, konzervatorsko-restauratorske radionice, dokumentacija i foto arhiv je dostupna javnosti od svibnja 2024. godine. U okviru edukativne djelatnosti obavlja se rad s različitim korisničkim dobnim skupinama. Muzej posjeduje knjižnicu poluotvorenog tipa. Muzej ima razvijenu izdavačku djelatnost odnosno znanstveni časopis A2 Etnološka istraživanja koji objavljuje jednom godišnje, kataloge muzejskih izložbi i muzejskih zbirki. Etnografski muzej predstavlja se javnosti stalnim postavom, izložbama s dužim trajanjem (u dijelu prizemlja i prvog kata), povremenim izložbama, predavanjima, diskurzivnim programima, koncertima i ostalim stručnim aktivnostima. Stalni postav je postavljen 1972., te je u osuvremenjenom obliku predstavljen kroz narodne nošnje Hrvatske od 2019. godine. Osnivač je od 2023. godine započeo s ulaganjem u obnovu dvorana na lijevom krilu zgrade na prvome katu, te je 2024. obnovljena dvorana u prizemlju gdje se nalazio stalni postav izvaneuropskih kultura. Prilikom obnove dvorana ugrađena je nova štedna rasvjeta u strop i u izložbene vitrine. Izložbene vitrine su obnovljene i prilagođene suvremenom izlaganju. U 2024. godini otvorena je nova Čuvaonica Etnografskog muzeja koja je opremljena sredstvima Grada Zagreba. Muzej je realizirao uređenje Čuvaonice u Kačićevoj 9/2 što je povećalo financijski plan i povećanje proračunskih sredstava za djelatnost. Partner u projektu je Grad Zagreb. Obavljen je povrat viška sredstava u gradski proračun 29.1.2025. U 2024. godini nastavlja se investicijama u zgradi Etnografskog muzeja, odnosno s obnovom izložbene dvorane u prizemlju, ugradnjom nove rasvjete u strop i u sve postojeće izložbene vitrine koje su obnovljene za potrebe postavljanja izložbe s duljim trajanjem Putnici, kao i obnove drvene stolarije u prizemlju (vrata), ugrađeni su fiksni klima uređaji u izložbenoj dvorani na prvome katu, nabavljeni prijenosni klima uređaji za sve izložbene dvorane. Izrađen je projekt za demontažu i ugradnju novoga lifta i kotlovnice, te projekt restauratorsko - konzervatorskih radova na obnovi kamene plastike i zidova centralnog stubišta. U prvoj polovici 2025. godine obavljena je demontaža i ugradnja novog dizala i obavljena primopredaja 01. 04. 2025. godine. Obnovljena je izložbena dvorana u prizemlju (ličenje zidova, stropa i obnova stolarije – prozora), te obnova prostora za garderobu za posjetitelje. Obavljena je primopredaja 30. 06. 2025. U drugoj polovici 2025. godine obnovljena je izložbena dvorana na prvom katu lijevo (ličenje zidova, stropa i obnova stolarije – prozora) za potrebe izložbe s duljim trajanjem “Zemlja”, sanirana je i obnovljena kamena plastika na centralnom stubištu. Obavljena je primopredaja 19.10. 2025. Ugrađena je nova rasvjeta u izložbene vitrine u stalnom postavu (29.11. 2025.) te je ugrađena nova kotlovnica u zgradi Etnografskog muzeja. Obavljena je primopredaja 23.12. 2025. </w:t>
      </w:r>
    </w:p>
    <w:p>
      <w:r>
        <w:t xml:space="preserve">Obavljeno je ličenje dvorane u prizemlju za potrebe izložbe "Moja koža - kultura tetoviranja" početkom 2026. godine. i ličenje dvorane na 1. katu stalnog postava, nabavljena su rasvjetna tijela za osvjetljanje stubišta. Provedena je javna nabava za obnovu pedagoške i multimedijske dvorane na 2. katu. Realizaciju očekujemo u drugoj polovici godine.</w:t>
      </w:r>
    </w:p>
    <w:p>
      <w:r>
        <w:t xml:space="preserve">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proračunskim korisnicima iz proračuna koji im nije nadležan (šifre 6361+6362)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31.810,64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24.836,00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78,1</w:t>
            </w:r>
          </w:p>
        </w:tc>
      </w:tr>
    </w:tbl>
    <w:p>
      <w:pPr>
        <w:spacing w:before="0" w:after="0"/>
      </w:pPr>
    </w:p>
    <w:p>
      <w:r>
        <w:t xml:space="preserve">Pomoći proračunskim korisnicima iz proračuna koji im nije nadležan manje su u odnosu na prethodnu godinu zbog manje doznačenih financijskih sredstava iz Ministarstva kulture i medija Republike Hrvatske.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temeljem prijenosa EU sredstava (šifre 6381+6382)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2.395,20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Pomoći temeljem prijenosa sredstava veće su u odnosu na prethodnu godinu zbog doznačenih preostalih sredstava za projekt AMPEU – Erasmus+, koja su u 2026. godini isplaćena po završetku projekta provedenog u 2025.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 posebnim propisima (šifre 6521 do 6528)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12.325,78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17.263,33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140,1</w:t>
            </w:r>
          </w:p>
        </w:tc>
      </w:tr>
    </w:tbl>
    <w:p>
      <w:pPr>
        <w:spacing w:before="0" w:after="0"/>
      </w:pPr>
    </w:p>
    <w:p>
      <w:r>
        <w:t xml:space="preserve">Prihodi po posebnim propisima veći su u odnosu na prethodnu godinu zbog većeg broja prodanih ulaznica, odnosno većeg broja posjetitelja.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 (šifre 6614+6615)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13.645,55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2.562,15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18,8</w:t>
            </w:r>
          </w:p>
        </w:tc>
      </w:tr>
    </w:tbl>
    <w:p>
      <w:pPr>
        <w:spacing w:before="0" w:after="0"/>
      </w:pPr>
    </w:p>
    <w:p>
      <w:r>
        <w:t xml:space="preserve">Prihodi od prodaje proizvoda i robe te pruženih usluga znatno su manji u odnosu na prethodnu godinu zbog manjeg broja prodanih proizvoda u suvenirnici.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4.354,65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68,9</w:t>
            </w:r>
          </w:p>
        </w:tc>
      </w:tr>
    </w:tbl>
    <w:p>
      <w:pPr>
        <w:spacing w:before="0" w:after="0"/>
      </w:pPr>
    </w:p>
    <w:p>
      <w:r>
        <w:t xml:space="preserve">Prihodi od donacija od pravnih i fizičkih osoba izvan općeg proračuna manji su u odnosu na prethodnu godinu zbog manjeg broja ostvarenih donacija u prvom dijelu godine, dok se veći broj donacija očekuje u drugom dijelu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redovne djelatnosti proračunskih korisnika (šifre 6711 do 6714)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1.032.421,10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1.123.552,25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108,8</w:t>
            </w:r>
          </w:p>
        </w:tc>
      </w:tr>
    </w:tbl>
    <w:p>
      <w:pPr>
        <w:spacing w:before="0" w:after="0"/>
      </w:pPr>
    </w:p>
    <w:p>
      <w:r>
        <w:t xml:space="preserve">Prihodi iz nadležnog proračuna za financiranje redovne djelatnosti proračunskih korisnika veći su u odnosu na prethodnu godinu zbog većeg iznosa doznačenih programskih sredstava, povećanja troškova redovne djelatnosti te promjene osnovice za obračun plaća.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(bruto) (šifre 3111 do 3114)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621.095,42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661.638,11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106,5</w:t>
            </w:r>
          </w:p>
        </w:tc>
      </w:tr>
    </w:tbl>
    <w:p>
      <w:pPr>
        <w:spacing w:before="0" w:after="0"/>
      </w:pPr>
    </w:p>
    <w:p>
      <w:r>
        <w:t xml:space="preserve">Troškovi plaća povećani su u odnosu na prethodnu godinu zbog promjene osnovice za obračun plaća te zapošljavanja novih zaposlenika na radna mjesta računovodstvenog referenta i čistača.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rashodi za zaposlene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48.105,55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52.281,16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108,7</w:t>
            </w:r>
          </w:p>
        </w:tc>
      </w:tr>
    </w:tbl>
    <w:p>
      <w:pPr>
        <w:spacing w:before="0" w:after="0"/>
      </w:pPr>
    </w:p>
    <w:p>
      <w:r>
        <w:t xml:space="preserve">Ostali rashodi za zaposlene na približno su istoj razini kao u prethodnoj godini, uz neznatno povećanje zbog većeg broja isplaćenih jubilarnih nagrada u izvještajnom razdoblju.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na plaće (šifre 3131 do 3133)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103.276,72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110.026,21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106,5</w:t>
            </w:r>
          </w:p>
        </w:tc>
      </w:tr>
    </w:tbl>
    <w:p>
      <w:pPr>
        <w:spacing w:before="0" w:after="0"/>
      </w:pPr>
    </w:p>
    <w:p>
      <w:r>
        <w:t xml:space="preserve">Doprinosi za plaće veći su u odnosu na prethodnu godinu zbog povećanja osnovice za obračun plaća, što je utjecalo i na povećanje iznosa doprinosa.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troškova zaposlenima (šifre 3211 do 3214)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22.404,12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27.342,02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122,0</w:t>
            </w:r>
          </w:p>
        </w:tc>
      </w:tr>
    </w:tbl>
    <w:p>
      <w:pPr>
        <w:spacing w:before="0" w:after="0"/>
      </w:pPr>
    </w:p>
    <w:p>
      <w:r>
        <w:t xml:space="preserve">Naknade troškova zaposlenima veće su u odnosu na isto razdoblje prethodne godine zbog povećanja sredstava za programsku djelatnost i sredstava za službena putovanja vezana uz realizaciju programa.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materijal i energiju (šifre 3221 do 3227)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53.294,23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50.604,18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95,0</w:t>
            </w:r>
          </w:p>
        </w:tc>
      </w:tr>
    </w:tbl>
    <w:p>
      <w:pPr>
        <w:spacing w:before="0" w:after="0"/>
      </w:pPr>
    </w:p>
    <w:p>
      <w:r>
        <w:t xml:space="preserve">Rashodi za materijal i energiju približno su na istoj razini kao i prethodne godine. Manja razlika u odnosu na prethodnu godinu proizlazi iz toga što u izvještajnom razdoblju još nisu zaprimljeni računi za električnu energiju za lipanj.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usluge (šifre 3231 do 3239)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140.772,05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173.348,20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123,1</w:t>
            </w:r>
          </w:p>
        </w:tc>
      </w:tr>
    </w:tbl>
    <w:p>
      <w:pPr>
        <w:spacing w:before="0" w:after="0"/>
      </w:pPr>
    </w:p>
    <w:p>
      <w:r>
        <w:t xml:space="preserve">Rashodi za usluge veći su u odnosu na prethodnu godinu, prvenstveno zbog povećanja rashoda za ostale usluge, koje se odnose na veći opseg pruženih usluga (ličenje izložbenih dvorana u prizemlju i na prvome katu - stalni postav), te povećanja rashoda za usluge tekućeg i investicijskog održavanja (prijevoznih sredstava) i tjelesna zaštita objekata.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20.999,95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25.829,70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123,0</w:t>
            </w:r>
          </w:p>
        </w:tc>
      </w:tr>
    </w:tbl>
    <w:p>
      <w:pPr>
        <w:spacing w:before="0" w:after="0"/>
      </w:pPr>
    </w:p>
    <w:p>
      <w:r>
        <w:t xml:space="preserve">Troškovi usluga tekućeg i investicijskog održavanja veći su u odnosu na prethodnu godinu zbog početka rada drugog objekta Čuvaonice u Kačićevoj ulici od 29.5. 2026. kada su bile smanjene potrebe za tekućim i investicijskim održavanjem jer je zgrada počela s uporabom.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82.123,76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106.699,06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129,9</w:t>
            </w:r>
          </w:p>
        </w:tc>
      </w:tr>
    </w:tbl>
    <w:p>
      <w:pPr>
        <w:spacing w:before="0" w:after="0"/>
      </w:pPr>
    </w:p>
    <w:p>
      <w:r>
        <w:t xml:space="preserve">Troškovi ostalih usluga veći su u odnosu na prethodnu godinu najviše zbog povećane potrebe za tjelesnom zaštitom zaštitarske službe Bilić - Erić d.o.o.. na drugom objektu u Kačićevoj ulici i novo parkino mjesto ispred zgrade EMZ-a.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(šifre 3291 do 3299)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22.823,43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27.298,34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119,6</w:t>
            </w:r>
          </w:p>
        </w:tc>
      </w:tr>
    </w:tbl>
    <w:p>
      <w:pPr>
        <w:spacing w:before="0" w:after="0"/>
      </w:pPr>
    </w:p>
    <w:p>
      <w:r>
        <w:t xml:space="preserve">Ostali nespomenuti rashodi poslovanja veći su u odnosu na prethodnu godinu, prvenstveno zbog povećanja rashoda za naknade za rad predstavničkih i izvršnih tijela, povjerenstava i slično (povećana naknada u odnosu na prošlu godinu) te povećanja troškova reprezentacije (radionice, otvorenje izložbi) dok su premije osiguranja ostale približno na istoj razini.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financijski rashodi (šifre 3431 do 3434)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656,32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262,48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40,0</w:t>
            </w:r>
          </w:p>
        </w:tc>
      </w:tr>
    </w:tbl>
    <w:p>
      <w:pPr>
        <w:spacing w:before="0" w:after="0"/>
      </w:pPr>
    </w:p>
    <w:p>
      <w:r>
        <w:t xml:space="preserve">Ostali financijski rashodi manji su u odnosu na prethodnu godinu zbog smanjenih troškova bankarskih usluga i platnog prometa, što je posljedica zatvaranja računa za EU projekta  obnove čuvaonice.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Prijenosi između proračunskih korisnika istog proračuna (šifre 3691 do 3694)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404.591,79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Konto kapitalnih prijenosa između proračunskih korisnika manji je u istom razdoblju u odnosu na prošlu godinu za 404.591,79 EUR-a, što je posljedica povrata viška sredstava po završetku EU projekta u gradski proračun.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rashodi poslovanja (šifre 3-Z003+Z004)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1.417.019,63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1.102.800,70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77,8</w:t>
            </w:r>
          </w:p>
        </w:tc>
      </w:tr>
    </w:tbl>
    <w:p>
      <w:pPr>
        <w:spacing w:before="0" w:after="0"/>
      </w:pPr>
    </w:p>
    <w:p>
      <w:r>
        <w:t xml:space="preserve">Ukupni rashodi poslovanja manji su u odnosu na prethodnu godinu prvenstveno zbog realiziranog EU projekta obnove čuvaonice, odnosno povrata viška sredstava u državni proračun koji je u prethodnoj godini značajno utjecao na visinu rashoda. Unatoč tome što su rashodi za plaće povećani zbog promjene osnovice za obračun plaća te povećanih troškova redovne i programske djelatnosti, navedena povećanja nisu utjecala na ukupno povećanje rashoda u odnosu na prethodnu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70.829,66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Višak prihoda poslovanja u odnosu na prethodnu godinu nastao je prvenstveno zbog toga što u izvještajnom razdoblju nije bilo povrata sredstava u državni proračun nakon realizacije EU projekta obnove čuvaonice, koji je u prethodnoj godini značajno utjecao na visinu rashoda poslovanja, te zbog većeg iznosa doznačenih sredstava za financiranje redovne djelatnosti i programskih aktivnosti.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poslovanja - preneseni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119.784,35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Preneseni manjak prihoda poslovanja u iznosu od 119.784,35 EUR pokrit će se iz budućih prihoda poslovanja, odnosno u narednim obračunskim razdobljima.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Postrojenja i oprema (šifre 4221 do 4228)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6.517,76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Rashodi za postrojenja i opremu veći su u odnosu na prethodnu godinu zbog nabave rasvjetnih tijela za osvjetljanje stubišta.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Dodatna ulaganja na građevinskim objektima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66.763,75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Rashodi za dodatna ulaganja na građevinskim objektima manji su u odnosu na prethodnu godinu zbog toga što je u prethodnoj godini izvršena ugradnja kotlovnice, dok u izvještajnom razdoblju nismo imali dodatna ulaganja na građevinskim objektima, realizaciju očekujemo u drugoj polovici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9222-9221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- preneseni (šifre '9221x,9222x MP' - '9221x,9222x VP' + 92223 - 92213)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9222-9221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119.784,35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Preneseni manjak prihoda poslovanja u iznosu od 119.784,35 EUR pokrit će se iz budućih prihoda poslovanja, odnosno u narednim obračunskim razdobljima.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za pokriće u sljedećem razdoblju (šifre Y005 + '9222-9221' - X005 - '9221-9222' 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26.403,02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55.472,45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210,1</w:t>
            </w:r>
          </w:p>
        </w:tc>
      </w:tr>
    </w:tbl>
    <w:p>
      <w:pPr>
        <w:spacing w:before="0" w:after="0"/>
      </w:pPr>
    </w:p>
    <w:p>
      <w:r>
        <w:t xml:space="preserve">Manjak prihoda i primitaka za pokriće u sljedećem razdoblju u iznosu od 55.472,45 EUR proizlazi iz prenesenog manjka prihoda i primitaka iz prethodnog razdoblja u iznosu od 119.784,35 EUR, umanjenog za ostvareni višak prihoda i primitaka u tekućem razdoblju. Navedeni manjak podmirit će se iz prihoda i primitaka ostvarenih u narednim razdobljima.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9.393,60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Dospjele obaveze sa period Siječanj - Lipanj su u iznosu od 9.393,60 Eur.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Temeljem sklopljenog ugovora dobili smo bespovratna sredstva  u 2025. godini od AMPEU (Agencija za mobilnost i programe EU) u iznosu od 11.742,00 Eur-a. Naziv projekta 2025-2-HR01-KA122-ADU-000376710 – Od tabua do znanja: muzejski pogled na fenomen menopauze. Rashodi su povezani uz službena putovanja vezana uz mobilnost stručnjaka.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906a953d9ed4d2a" /></Relationships>
</file>